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94"/>
      </w:tblGrid>
      <w:tr w:rsidR="00221483" w:rsidTr="00221483">
        <w:tc>
          <w:tcPr>
            <w:tcW w:w="1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Reference Number</w:t>
            </w:r>
          </w:p>
        </w:tc>
        <w:tc>
          <w:tcPr>
            <w:tcW w:w="4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Title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AS/NZS ISO 15801: 2014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_ Information stored electronically – Recommendations for trustworthiness and reliability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SA/SNZ TR ISO 16175.2: 2012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Principles and functional requirements for records in electronic office environments – Guidelines and functional requirements for digital records management systems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 ISO 22310 – 2006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Guidelines for standards drafters for stating records management requirements in standards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 ISO 23081.1: 2006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Records management processes p Metadata for records – Principles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 ISO 23081.2: 2007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Records management processes – Metadata for records – Conceptual and implementation issues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AS/NZS ISO 30300: 2012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Management systems for recordkeeping – Fundamentals and vocabulary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AS/NZS ISO 30301: 2012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Management systems for recordkeeping – Requirements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 5037 – 2005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Knowledge management – a guide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HB 189 – 2004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Knowledge Management terminology and readings – an Australian guide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 ISO 12029: 2014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– Machine-readable paper forms – Optimal design for user friendliness and electronic management systems (EDMS)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AS/NZS ISO 15801: 2014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– Information stored electronically – Recommendations for trustworthiness and reliability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HB 178 – 2003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ISO/TR 12654 Electronic imaging – Recommendations for the management of electronic recording systems for the recording of documents that may be required as evidence, on WORM optical disk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IEC 82045-2: 2004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– Part 2 – Metadata elements and information reference model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ISO/TR 22957: 2009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– Analysis, selection and implementation of electronic document management systems (EDMS)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ISO 25964-1: 2014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Information and documentation – Thesauri and interoperability with other vocabularies – Part 1 Thesauri for information retrieval</w:t>
            </w:r>
          </w:p>
        </w:tc>
      </w:tr>
      <w:tr w:rsidR="00221483" w:rsidTr="00221483"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ISO 23868: 2008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r>
              <w:rPr>
                <w:color w:val="1F497D"/>
              </w:rPr>
              <w:t>Document management – Monitoring and verification of information stored on 130 mm optical media</w:t>
            </w:r>
          </w:p>
        </w:tc>
      </w:tr>
      <w:tr w:rsidR="00221483" w:rsidTr="00221483">
        <w:tc>
          <w:tcPr>
            <w:tcW w:w="1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Institute of Information Management</w:t>
            </w:r>
          </w:p>
        </w:tc>
        <w:tc>
          <w:tcPr>
            <w:tcW w:w="400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483" w:rsidRDefault="00221483">
            <w:pPr>
              <w:rPr>
                <w:color w:val="1F497D"/>
              </w:rPr>
            </w:pPr>
            <w:hyperlink r:id="rId5" w:history="1">
              <w:r>
                <w:rPr>
                  <w:rStyle w:val="Hyperlink"/>
                </w:rPr>
                <w:t>Australian IM standards</w:t>
              </w:r>
            </w:hyperlink>
          </w:p>
          <w:p w:rsidR="00221483" w:rsidRDefault="00221483">
            <w:pPr>
              <w:rPr>
                <w:color w:val="1F497D"/>
              </w:rPr>
            </w:pPr>
            <w:hyperlink r:id="rId6" w:history="1">
              <w:r>
                <w:rPr>
                  <w:rStyle w:val="Hyperlink"/>
                </w:rPr>
                <w:t>International standards</w:t>
              </w:r>
            </w:hyperlink>
          </w:p>
        </w:tc>
      </w:tr>
    </w:tbl>
    <w:p w:rsidR="00954368" w:rsidRDefault="00954368">
      <w:bookmarkStart w:id="0" w:name="_GoBack"/>
      <w:bookmarkEnd w:id="0"/>
    </w:p>
    <w:sectPr w:rsidR="00954368" w:rsidSect="00954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3"/>
    <w:rsid w:val="00221483"/>
    <w:rsid w:val="002C1B7D"/>
    <w:rsid w:val="00396A96"/>
    <w:rsid w:val="00473C3F"/>
    <w:rsid w:val="009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im.org.au/minigen/default.asp?action=showContent&amp;contentID=167" TargetMode="External"/><Relationship Id="rId5" Type="http://schemas.openxmlformats.org/officeDocument/2006/relationships/hyperlink" Target="http://www.iim.org.au/minigen/default.asp?action=showContent&amp;contentID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Lavender</dc:creator>
  <cp:lastModifiedBy>Andy Lavender</cp:lastModifiedBy>
  <cp:revision>1</cp:revision>
  <dcterms:created xsi:type="dcterms:W3CDTF">2015-05-07T08:38:00Z</dcterms:created>
  <dcterms:modified xsi:type="dcterms:W3CDTF">2015-05-07T08:38:00Z</dcterms:modified>
</cp:coreProperties>
</file>